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799" w:rsidRPr="00446F9D" w:rsidRDefault="00FE5799" w:rsidP="00FE5799">
      <w:pPr>
        <w:pStyle w:val="Header"/>
        <w:tabs>
          <w:tab w:val="clear" w:pos="4536"/>
        </w:tabs>
        <w:rPr>
          <w:i/>
        </w:rPr>
      </w:pPr>
      <w:r w:rsidRPr="00446F9D">
        <w:t>TSG-RAN WG1 #</w:t>
      </w:r>
      <w:r>
        <w:t>84bis</w:t>
      </w:r>
      <w:r w:rsidRPr="00446F9D">
        <w:tab/>
        <w:t>R1-</w:t>
      </w:r>
      <w:r w:rsidR="00343C7A">
        <w:t>163216</w:t>
      </w:r>
    </w:p>
    <w:p w:rsidR="00FE5799" w:rsidRPr="000833FA" w:rsidRDefault="00FE5799" w:rsidP="00FE5799">
      <w:pPr>
        <w:pStyle w:val="Header"/>
        <w:rPr>
          <w:color w:val="000000"/>
        </w:rPr>
      </w:pPr>
      <w:r>
        <w:t>Busan</w:t>
      </w:r>
      <w:r w:rsidRPr="000833FA">
        <w:t xml:space="preserve">, </w:t>
      </w:r>
      <w:r>
        <w:t>South Korea</w:t>
      </w:r>
      <w:r w:rsidRPr="000833FA">
        <w:t>,</w:t>
      </w:r>
      <w:r>
        <w:t xml:space="preserve"> April 11 – 15, 2016</w:t>
      </w:r>
    </w:p>
    <w:p w:rsidR="00FE5799" w:rsidRPr="000833FA" w:rsidRDefault="00FE5799" w:rsidP="00FE5799">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F64D4A" w:rsidRDefault="00FE5799" w:rsidP="00FE5799">
      <w:pPr>
        <w:pStyle w:val="Header"/>
        <w:tabs>
          <w:tab w:val="clear" w:pos="4536"/>
          <w:tab w:val="left" w:pos="1800"/>
        </w:tabs>
      </w:pPr>
      <w:r w:rsidRPr="0003368D">
        <w:t>Title:</w:t>
      </w:r>
      <w:bookmarkStart w:id="0" w:name="Title"/>
      <w:bookmarkEnd w:id="0"/>
      <w:r w:rsidRPr="0003368D">
        <w:tab/>
      </w:r>
      <w:r w:rsidR="004A619D">
        <w:t>Some d</w:t>
      </w:r>
      <w:r>
        <w:t xml:space="preserve">esign principles for </w:t>
      </w:r>
      <w:r w:rsidR="00087BC5">
        <w:t>NR</w:t>
      </w:r>
    </w:p>
    <w:p w:rsidR="00FE5799" w:rsidRPr="0003368D" w:rsidRDefault="00FE5799" w:rsidP="00FE5799">
      <w:pPr>
        <w:pStyle w:val="Header"/>
        <w:tabs>
          <w:tab w:val="left" w:pos="1800"/>
        </w:tabs>
      </w:pPr>
      <w:r w:rsidRPr="0003368D">
        <w:t>Agenda Item:</w:t>
      </w:r>
      <w:bookmarkStart w:id="1" w:name="Source"/>
      <w:bookmarkEnd w:id="1"/>
      <w:r w:rsidRPr="0003368D">
        <w:tab/>
      </w:r>
      <w:r w:rsidR="00261074">
        <w:t>8.1.1</w:t>
      </w:r>
    </w:p>
    <w:p w:rsidR="00FE5799" w:rsidRPr="0003368D" w:rsidRDefault="00FE5799" w:rsidP="00FE5799">
      <w:pPr>
        <w:pStyle w:val="Header"/>
        <w:tabs>
          <w:tab w:val="left" w:pos="1800"/>
        </w:tabs>
      </w:pPr>
      <w:r w:rsidRPr="0003368D">
        <w:t>Document for:</w:t>
      </w:r>
      <w:r w:rsidRPr="0003368D">
        <w:tab/>
      </w:r>
      <w:bookmarkStart w:id="2" w:name="DocumentFor"/>
      <w:bookmarkEnd w:id="2"/>
      <w:r w:rsidRPr="0003368D">
        <w:t xml:space="preserve">Discussion </w:t>
      </w:r>
      <w:r>
        <w:t>and Decision</w:t>
      </w:r>
    </w:p>
    <w:p w:rsidR="00FE5799" w:rsidRPr="002100D2" w:rsidRDefault="00FE5799" w:rsidP="00FE5799">
      <w:pPr>
        <w:pBdr>
          <w:bottom w:val="single" w:sz="4" w:space="1" w:color="auto"/>
        </w:pBdr>
        <w:tabs>
          <w:tab w:val="left" w:pos="2552"/>
        </w:tabs>
      </w:pPr>
    </w:p>
    <w:p w:rsidR="004A3F44" w:rsidRDefault="001639B5" w:rsidP="004A3F44">
      <w:pPr>
        <w:pStyle w:val="Heading1"/>
      </w:pPr>
      <w:r>
        <w:t>Introduction</w:t>
      </w:r>
    </w:p>
    <w:p w:rsidR="001639B5" w:rsidRPr="004A619D" w:rsidRDefault="001639B5" w:rsidP="00A55C73">
      <w:pPr>
        <w:pStyle w:val="BodyText"/>
      </w:pPr>
      <w:r>
        <w:t xml:space="preserve">In the following some “design principles”, or “lessons learnt from LTE”, that can help guide the design of the new RAT are discussed. </w:t>
      </w:r>
      <w:r w:rsidR="004A619D">
        <w:t xml:space="preserve">Although these principles may not directly relate to the </w:t>
      </w:r>
      <w:r w:rsidR="004A619D">
        <w:rPr>
          <w:b/>
          <w:i/>
        </w:rPr>
        <w:t xml:space="preserve">forward compatibility </w:t>
      </w:r>
      <w:r w:rsidR="004A619D">
        <w:t xml:space="preserve">as discussed in </w:t>
      </w:r>
      <w:r w:rsidR="004A619D">
        <w:fldChar w:fldCharType="begin"/>
      </w:r>
      <w:r w:rsidR="004A619D">
        <w:instrText xml:space="preserve"> REF _Ref445885665 \r \h </w:instrText>
      </w:r>
      <w:r w:rsidR="004A619D">
        <w:fldChar w:fldCharType="separate"/>
      </w:r>
      <w:r w:rsidR="004A619D">
        <w:t>[1]</w:t>
      </w:r>
      <w:r w:rsidR="004A619D">
        <w:fldChar w:fldCharType="end"/>
      </w:r>
      <w:r w:rsidR="004A619D">
        <w:t>, they are useful as additional guidelines in the design of the new RAT.</w:t>
      </w:r>
    </w:p>
    <w:p w:rsidR="004A3F44" w:rsidRDefault="004A3F44" w:rsidP="004A619D">
      <w:pPr>
        <w:pStyle w:val="Heading1"/>
      </w:pPr>
      <w:r>
        <w:t>“Beam-centric design”</w:t>
      </w:r>
    </w:p>
    <w:p w:rsidR="00F062F2" w:rsidRDefault="00F062F2" w:rsidP="00F062F2">
      <w:pPr>
        <w:pStyle w:val="BodyText"/>
      </w:pPr>
      <w:r>
        <w:t xml:space="preserve">Advanced multi-antenna techniques (beamforming, spatial multiplexing, multi-user </w:t>
      </w:r>
      <w:proofErr w:type="gramStart"/>
      <w:r>
        <w:t>MIMO, …)</w:t>
      </w:r>
      <w:proofErr w:type="gramEnd"/>
      <w:r>
        <w:t xml:space="preserve"> are expected to play an important role for the new RAT. This needs to be accounted for not only with respect to data transmission but may also have an impact on various procedures not directly related to data transmission, e.g. random access, cell search, handover, and idle mode procedures. For example, beamforming to improve coverage for a certain data rate may not be useful if procedures such as system information delivery and random access cannot operate in the large coverage area.</w:t>
      </w:r>
      <w:r w:rsidR="00343C7A">
        <w:t xml:space="preserve"> It should be noted however, that for NR operation in the lower frequency bands, the transmit antennas is expected to be modest in number of elements and a beam centric approach is not necessary.  Therefore, NR should provide support for traditional closed loop multi-antenna operation as well as a beam centric design. </w:t>
      </w:r>
    </w:p>
    <w:p w:rsidR="00F062F2" w:rsidRDefault="00343C7A" w:rsidP="00343C7A">
      <w:pPr>
        <w:pStyle w:val="BodyText"/>
        <w:ind w:firstLine="567"/>
        <w:rPr>
          <w:b/>
        </w:rPr>
      </w:pPr>
      <w:r>
        <w:rPr>
          <w:b/>
        </w:rPr>
        <w:t>Proposal: Support</w:t>
      </w:r>
      <w:r w:rsidR="00F062F2" w:rsidRPr="00F062F2">
        <w:rPr>
          <w:b/>
        </w:rPr>
        <w:t xml:space="preserve"> a “beam-centric” design</w:t>
      </w:r>
    </w:p>
    <w:p w:rsidR="00022E81" w:rsidRPr="00022E81" w:rsidRDefault="00022E81" w:rsidP="004A619D">
      <w:pPr>
        <w:pStyle w:val="Heading1"/>
        <w:rPr>
          <w:lang w:val="en-GB"/>
        </w:rPr>
      </w:pPr>
      <w:r w:rsidRPr="00022E81">
        <w:rPr>
          <w:lang w:val="en-GB"/>
        </w:rPr>
        <w:t>Avoid slow reconfiguration of dynamically changing quantities</w:t>
      </w:r>
    </w:p>
    <w:p w:rsidR="00022E81" w:rsidRDefault="00022E81" w:rsidP="00022E81">
      <w:pPr>
        <w:pStyle w:val="BodyText"/>
      </w:pPr>
      <w:r w:rsidRPr="001D0503">
        <w:t xml:space="preserve">Higher-layer RRC signaling to reconfigure e.g. transmission modes take time and may not be used in practice. For example, in LTE the transmission mode (which impacts the multi-antenna transmission technique used) is semi-statically configured making it hard/costly to adapt the transmission scheme to the instantaneous situation (including dynamic traffic variations). </w:t>
      </w:r>
      <w:r w:rsidR="001D0503" w:rsidRPr="001D0503">
        <w:t xml:space="preserve">It should be possible to start with a ‘simple’ MIMO mode and, as more knowledge of the channel is obtained, exploiting more advanced transmission schemes. </w:t>
      </w:r>
      <w:r w:rsidRPr="001D0503">
        <w:t xml:space="preserve">However, relying purely on dynamic L1 signaling may add to complexity in scenarios not requiring very dynamic control of parameters and a balance between dynamic L1 signaling and slower but potentially more reliable higher-layer signaling is required.  For example, semi-persistent scheduling as a complement to dynamic scheduling is fine; in this case dynamic scheduling still can be used when needed. </w:t>
      </w:r>
    </w:p>
    <w:p w:rsidR="001D0503" w:rsidRPr="001D0503" w:rsidRDefault="001D0503" w:rsidP="00022E81">
      <w:pPr>
        <w:pStyle w:val="BodyText"/>
        <w:rPr>
          <w:b/>
        </w:rPr>
      </w:pPr>
      <w:r w:rsidRPr="001D0503">
        <w:rPr>
          <w:b/>
        </w:rPr>
        <w:t>Proposal: Avoid slow reconfiguration of dynamically changing quantities</w:t>
      </w:r>
    </w:p>
    <w:p w:rsidR="00FE5799" w:rsidRDefault="00FE5799" w:rsidP="00FE5799">
      <w:pPr>
        <w:pStyle w:val="Heading1"/>
      </w:pPr>
      <w:r>
        <w:t>Conclusion</w:t>
      </w:r>
    </w:p>
    <w:p w:rsidR="00F062F2" w:rsidRDefault="00F062F2" w:rsidP="00F062F2">
      <w:pPr>
        <w:pStyle w:val="BodyText"/>
      </w:pPr>
      <w:r>
        <w:t>To improve future compatibility the following proposals are made:</w:t>
      </w:r>
    </w:p>
    <w:p w:rsidR="00F062F2" w:rsidRDefault="00652F23" w:rsidP="00F062F2">
      <w:pPr>
        <w:pStyle w:val="BodyText"/>
        <w:numPr>
          <w:ilvl w:val="0"/>
          <w:numId w:val="5"/>
        </w:numPr>
        <w:rPr>
          <w:b/>
        </w:rPr>
      </w:pPr>
      <w:r>
        <w:rPr>
          <w:b/>
        </w:rPr>
        <w:t xml:space="preserve">Support </w:t>
      </w:r>
      <w:bookmarkStart w:id="3" w:name="_GoBack"/>
      <w:bookmarkEnd w:id="3"/>
      <w:r w:rsidR="00F062F2" w:rsidRPr="00F062F2">
        <w:rPr>
          <w:b/>
        </w:rPr>
        <w:t>a “beam-centric” design</w:t>
      </w:r>
    </w:p>
    <w:p w:rsidR="0026076E" w:rsidRDefault="0026076E" w:rsidP="00F062F2">
      <w:pPr>
        <w:pStyle w:val="BodyText"/>
        <w:numPr>
          <w:ilvl w:val="0"/>
          <w:numId w:val="5"/>
        </w:numPr>
        <w:rPr>
          <w:b/>
        </w:rPr>
      </w:pPr>
      <w:r w:rsidRPr="001D0503">
        <w:rPr>
          <w:b/>
        </w:rPr>
        <w:t>Avoid slow reconfiguration of dynamically changing quantities</w:t>
      </w:r>
    </w:p>
    <w:p w:rsidR="00F062F2" w:rsidRPr="00F062F2" w:rsidRDefault="00F062F2" w:rsidP="00F062F2">
      <w:pPr>
        <w:pStyle w:val="BodyText"/>
      </w:pPr>
      <w:r w:rsidRPr="00F062F2">
        <w:t>It is proposed to capture these principle</w:t>
      </w:r>
      <w:r>
        <w:t>s</w:t>
      </w:r>
      <w:r w:rsidRPr="00F062F2">
        <w:t xml:space="preserve"> in the RAN1 </w:t>
      </w:r>
      <w:r w:rsidR="001D0503" w:rsidRPr="00F062F2">
        <w:t>technical</w:t>
      </w:r>
      <w:r w:rsidRPr="00F062F2">
        <w:t xml:space="preserve"> report.</w:t>
      </w:r>
    </w:p>
    <w:p w:rsidR="004A619D" w:rsidRPr="00510266" w:rsidRDefault="004A619D" w:rsidP="004A619D">
      <w:pPr>
        <w:pStyle w:val="Heading1"/>
      </w:pPr>
      <w:r w:rsidRPr="00510266">
        <w:t>References</w:t>
      </w:r>
    </w:p>
    <w:p w:rsidR="004A619D" w:rsidRPr="00461DD9" w:rsidRDefault="00343C7A" w:rsidP="004A619D">
      <w:pPr>
        <w:numPr>
          <w:ilvl w:val="0"/>
          <w:numId w:val="2"/>
        </w:numPr>
        <w:jc w:val="both"/>
        <w:rPr>
          <w:szCs w:val="20"/>
          <w:lang w:val="it-IT"/>
        </w:rPr>
      </w:pPr>
      <w:bookmarkStart w:id="4" w:name="_Ref445885665"/>
      <w:r>
        <w:t>R1-163217</w:t>
      </w:r>
      <w:r w:rsidR="004A619D">
        <w:t>, “</w:t>
      </w:r>
      <w:r w:rsidR="004A619D" w:rsidRPr="004A619D">
        <w:t>On forward compatibility</w:t>
      </w:r>
      <w:r w:rsidR="004A619D">
        <w:t>”, Ericsson</w:t>
      </w:r>
      <w:bookmarkEnd w:id="4"/>
    </w:p>
    <w:p w:rsidR="00F062F2" w:rsidRPr="00F062F2" w:rsidRDefault="00F062F2">
      <w:pPr>
        <w:pStyle w:val="BodyText"/>
      </w:pPr>
    </w:p>
    <w:sectPr w:rsidR="00F062F2" w:rsidRPr="00F062F2">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4DC" w:rsidRDefault="001224DC">
      <w:r>
        <w:separator/>
      </w:r>
    </w:p>
  </w:endnote>
  <w:endnote w:type="continuationSeparator" w:id="0">
    <w:p w:rsidR="001224DC" w:rsidRDefault="00122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4DC" w:rsidRDefault="001224DC">
      <w:r>
        <w:separator/>
      </w:r>
    </w:p>
  </w:footnote>
  <w:footnote w:type="continuationSeparator" w:id="0">
    <w:p w:rsidR="001224DC" w:rsidRDefault="001224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F57" w:rsidRDefault="001224DC" w:rsidP="00A61E6C">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DF36D960"/>
    <w:lvl w:ilvl="0">
      <w:start w:val="1"/>
      <w:numFmt w:val="decimal"/>
      <w:lvlText w:val="%1"/>
      <w:lvlJc w:val="left"/>
      <w:pPr>
        <w:tabs>
          <w:tab w:val="num" w:pos="0"/>
        </w:tabs>
        <w:ind w:left="2551" w:hanging="1304"/>
      </w:pPr>
      <w:rPr>
        <w:strike w:val="0"/>
        <w:dstrike w:val="0"/>
        <w:u w:val="none"/>
        <w:effect w:val="none"/>
      </w:rPr>
    </w:lvl>
    <w:lvl w:ilvl="1">
      <w:start w:val="1"/>
      <w:numFmt w:val="decimal"/>
      <w:lvlText w:val="%1.%2"/>
      <w:lvlJc w:val="left"/>
      <w:pPr>
        <w:tabs>
          <w:tab w:val="num" w:pos="738"/>
        </w:tabs>
        <w:ind w:left="3289" w:hanging="1304"/>
      </w:pPr>
      <w:rPr>
        <w:strike w:val="0"/>
        <w:dstrike w:val="0"/>
        <w:u w:val="none"/>
        <w:effect w:val="none"/>
        <w:lang w:val="en-US"/>
      </w:rPr>
    </w:lvl>
    <w:lvl w:ilvl="2">
      <w:start w:val="1"/>
      <w:numFmt w:val="decimal"/>
      <w:lvlText w:val="%1.%2.%3"/>
      <w:lvlJc w:val="left"/>
      <w:pPr>
        <w:tabs>
          <w:tab w:val="num" w:pos="13"/>
        </w:tabs>
        <w:ind w:left="2564" w:hanging="1304"/>
      </w:pPr>
      <w:rPr>
        <w:strike w:val="0"/>
        <w:dstrike w:val="0"/>
        <w:u w:val="none"/>
        <w:effect w:val="none"/>
      </w:rPr>
    </w:lvl>
    <w:lvl w:ilvl="3">
      <w:start w:val="1"/>
      <w:numFmt w:val="decimal"/>
      <w:lvlText w:val="%1.%2.%3.%4"/>
      <w:lvlJc w:val="left"/>
      <w:pPr>
        <w:tabs>
          <w:tab w:val="num" w:pos="0"/>
        </w:tabs>
        <w:ind w:left="2551" w:hanging="1304"/>
      </w:pPr>
      <w:rPr>
        <w:strike w:val="0"/>
        <w:dstrike w:val="0"/>
        <w:u w:val="none"/>
        <w:effect w:val="none"/>
        <w:lang w:val="en-GB"/>
      </w:rPr>
    </w:lvl>
    <w:lvl w:ilvl="4">
      <w:start w:val="1"/>
      <w:numFmt w:val="decimal"/>
      <w:lvlText w:val="%1.%2.%3.%4.%5"/>
      <w:lvlJc w:val="left"/>
      <w:pPr>
        <w:tabs>
          <w:tab w:val="num" w:pos="0"/>
        </w:tabs>
        <w:ind w:left="2552" w:hanging="1248"/>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nsid w:val="03C142EA"/>
    <w:multiLevelType w:val="hybridMultilevel"/>
    <w:tmpl w:val="BCD6D3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4CE82E97"/>
    <w:multiLevelType w:val="hybridMultilevel"/>
    <w:tmpl w:val="C122BAC2"/>
    <w:lvl w:ilvl="0" w:tplc="71F0A20A">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5"/>
  </w:num>
  <w:num w:numId="2">
    <w:abstractNumId w:val="3"/>
  </w:num>
  <w:num w:numId="3">
    <w:abstractNumId w:val="2"/>
  </w:num>
  <w:num w:numId="4">
    <w:abstractNumId w:val="4"/>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22E81"/>
    <w:rsid w:val="00087BC5"/>
    <w:rsid w:val="001224DC"/>
    <w:rsid w:val="001639B5"/>
    <w:rsid w:val="001B7BA4"/>
    <w:rsid w:val="001D0503"/>
    <w:rsid w:val="00232FE7"/>
    <w:rsid w:val="0026076E"/>
    <w:rsid w:val="00261074"/>
    <w:rsid w:val="00326B18"/>
    <w:rsid w:val="00343C7A"/>
    <w:rsid w:val="003D5908"/>
    <w:rsid w:val="003F77D0"/>
    <w:rsid w:val="00481DE8"/>
    <w:rsid w:val="004A3F44"/>
    <w:rsid w:val="004A619D"/>
    <w:rsid w:val="004E0AB2"/>
    <w:rsid w:val="00542C33"/>
    <w:rsid w:val="005F758E"/>
    <w:rsid w:val="00652F23"/>
    <w:rsid w:val="006A286A"/>
    <w:rsid w:val="007A5AAF"/>
    <w:rsid w:val="007B3530"/>
    <w:rsid w:val="00872E9C"/>
    <w:rsid w:val="00A55C73"/>
    <w:rsid w:val="00AF2213"/>
    <w:rsid w:val="00B368D9"/>
    <w:rsid w:val="00B61E14"/>
    <w:rsid w:val="00C1560A"/>
    <w:rsid w:val="00C82C6E"/>
    <w:rsid w:val="00CF6B76"/>
    <w:rsid w:val="00E747B0"/>
    <w:rsid w:val="00F002CD"/>
    <w:rsid w:val="00F062F2"/>
    <w:rsid w:val="00F307F4"/>
    <w:rsid w:val="00F61907"/>
    <w:rsid w:val="00F64E0F"/>
    <w:rsid w:val="00FE579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character" w:styleId="CommentReference">
    <w:name w:val="annotation reference"/>
    <w:basedOn w:val="DefaultParagraphFont"/>
    <w:uiPriority w:val="99"/>
    <w:semiHidden/>
    <w:unhideWhenUsed/>
    <w:rsid w:val="00F062F2"/>
    <w:rPr>
      <w:sz w:val="16"/>
      <w:szCs w:val="16"/>
    </w:rPr>
  </w:style>
  <w:style w:type="paragraph" w:styleId="CommentText">
    <w:name w:val="annotation text"/>
    <w:basedOn w:val="Normal"/>
    <w:link w:val="CommentTextChar"/>
    <w:uiPriority w:val="99"/>
    <w:semiHidden/>
    <w:unhideWhenUsed/>
    <w:rsid w:val="00F062F2"/>
    <w:rPr>
      <w:szCs w:val="20"/>
    </w:rPr>
  </w:style>
  <w:style w:type="character" w:customStyle="1" w:styleId="CommentTextChar">
    <w:name w:val="Comment Text Char"/>
    <w:basedOn w:val="DefaultParagraphFont"/>
    <w:link w:val="CommentText"/>
    <w:uiPriority w:val="99"/>
    <w:semiHidden/>
    <w:rsid w:val="00F062F2"/>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62F2"/>
    <w:rPr>
      <w:b/>
      <w:bCs/>
    </w:rPr>
  </w:style>
  <w:style w:type="character" w:customStyle="1" w:styleId="CommentSubjectChar">
    <w:name w:val="Comment Subject Char"/>
    <w:basedOn w:val="CommentTextChar"/>
    <w:link w:val="CommentSubject"/>
    <w:uiPriority w:val="99"/>
    <w:semiHidden/>
    <w:rsid w:val="00F062F2"/>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F062F2"/>
    <w:rPr>
      <w:rFonts w:ascii="Tahoma" w:hAnsi="Tahoma" w:cs="Tahoma"/>
      <w:sz w:val="16"/>
      <w:szCs w:val="16"/>
    </w:rPr>
  </w:style>
  <w:style w:type="character" w:customStyle="1" w:styleId="BalloonTextChar">
    <w:name w:val="Balloon Text Char"/>
    <w:basedOn w:val="DefaultParagraphFont"/>
    <w:link w:val="BalloonText"/>
    <w:uiPriority w:val="99"/>
    <w:semiHidden/>
    <w:rsid w:val="00F062F2"/>
    <w:rPr>
      <w:rFonts w:ascii="Tahoma" w:eastAsia="Times New Roman" w:hAnsi="Tahoma" w:cs="Tahoma"/>
      <w:sz w:val="16"/>
      <w:szCs w:val="16"/>
      <w:lang w:val="en-US"/>
    </w:rPr>
  </w:style>
  <w:style w:type="paragraph" w:styleId="Footer">
    <w:name w:val="footer"/>
    <w:basedOn w:val="Normal"/>
    <w:link w:val="FooterChar"/>
    <w:uiPriority w:val="99"/>
    <w:unhideWhenUsed/>
    <w:rsid w:val="00F64E0F"/>
    <w:pPr>
      <w:tabs>
        <w:tab w:val="center" w:pos="4536"/>
        <w:tab w:val="right" w:pos="9072"/>
      </w:tabs>
    </w:pPr>
  </w:style>
  <w:style w:type="character" w:customStyle="1" w:styleId="FooterChar">
    <w:name w:val="Footer Char"/>
    <w:basedOn w:val="DefaultParagraphFont"/>
    <w:link w:val="Footer"/>
    <w:uiPriority w:val="99"/>
    <w:rsid w:val="00F64E0F"/>
    <w:rPr>
      <w:rFonts w:ascii="Times New Roman" w:eastAsia="Times New Roman" w:hAnsi="Times New Roman" w:cs="Times New Roman"/>
      <w:sz w:val="20"/>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character" w:styleId="CommentReference">
    <w:name w:val="annotation reference"/>
    <w:basedOn w:val="DefaultParagraphFont"/>
    <w:uiPriority w:val="99"/>
    <w:semiHidden/>
    <w:unhideWhenUsed/>
    <w:rsid w:val="00F062F2"/>
    <w:rPr>
      <w:sz w:val="16"/>
      <w:szCs w:val="16"/>
    </w:rPr>
  </w:style>
  <w:style w:type="paragraph" w:styleId="CommentText">
    <w:name w:val="annotation text"/>
    <w:basedOn w:val="Normal"/>
    <w:link w:val="CommentTextChar"/>
    <w:uiPriority w:val="99"/>
    <w:semiHidden/>
    <w:unhideWhenUsed/>
    <w:rsid w:val="00F062F2"/>
    <w:rPr>
      <w:szCs w:val="20"/>
    </w:rPr>
  </w:style>
  <w:style w:type="character" w:customStyle="1" w:styleId="CommentTextChar">
    <w:name w:val="Comment Text Char"/>
    <w:basedOn w:val="DefaultParagraphFont"/>
    <w:link w:val="CommentText"/>
    <w:uiPriority w:val="99"/>
    <w:semiHidden/>
    <w:rsid w:val="00F062F2"/>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62F2"/>
    <w:rPr>
      <w:b/>
      <w:bCs/>
    </w:rPr>
  </w:style>
  <w:style w:type="character" w:customStyle="1" w:styleId="CommentSubjectChar">
    <w:name w:val="Comment Subject Char"/>
    <w:basedOn w:val="CommentTextChar"/>
    <w:link w:val="CommentSubject"/>
    <w:uiPriority w:val="99"/>
    <w:semiHidden/>
    <w:rsid w:val="00F062F2"/>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F062F2"/>
    <w:rPr>
      <w:rFonts w:ascii="Tahoma" w:hAnsi="Tahoma" w:cs="Tahoma"/>
      <w:sz w:val="16"/>
      <w:szCs w:val="16"/>
    </w:rPr>
  </w:style>
  <w:style w:type="character" w:customStyle="1" w:styleId="BalloonTextChar">
    <w:name w:val="Balloon Text Char"/>
    <w:basedOn w:val="DefaultParagraphFont"/>
    <w:link w:val="BalloonText"/>
    <w:uiPriority w:val="99"/>
    <w:semiHidden/>
    <w:rsid w:val="00F062F2"/>
    <w:rPr>
      <w:rFonts w:ascii="Tahoma" w:eastAsia="Times New Roman" w:hAnsi="Tahoma" w:cs="Tahoma"/>
      <w:sz w:val="16"/>
      <w:szCs w:val="16"/>
      <w:lang w:val="en-US"/>
    </w:rPr>
  </w:style>
  <w:style w:type="paragraph" w:styleId="Footer">
    <w:name w:val="footer"/>
    <w:basedOn w:val="Normal"/>
    <w:link w:val="FooterChar"/>
    <w:uiPriority w:val="99"/>
    <w:unhideWhenUsed/>
    <w:rsid w:val="00F64E0F"/>
    <w:pPr>
      <w:tabs>
        <w:tab w:val="center" w:pos="4536"/>
        <w:tab w:val="right" w:pos="9072"/>
      </w:tabs>
    </w:pPr>
  </w:style>
  <w:style w:type="character" w:customStyle="1" w:styleId="FooterChar">
    <w:name w:val="Footer Char"/>
    <w:basedOn w:val="DefaultParagraphFont"/>
    <w:link w:val="Footer"/>
    <w:uiPriority w:val="99"/>
    <w:rsid w:val="00F64E0F"/>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796458">
      <w:bodyDiv w:val="1"/>
      <w:marLeft w:val="0"/>
      <w:marRight w:val="0"/>
      <w:marTop w:val="0"/>
      <w:marBottom w:val="0"/>
      <w:divBdr>
        <w:top w:val="none" w:sz="0" w:space="0" w:color="auto"/>
        <w:left w:val="none" w:sz="0" w:space="0" w:color="auto"/>
        <w:bottom w:val="none" w:sz="0" w:space="0" w:color="auto"/>
        <w:right w:val="none" w:sz="0" w:space="0" w:color="auto"/>
      </w:divBdr>
    </w:div>
    <w:div w:id="264191024">
      <w:bodyDiv w:val="1"/>
      <w:marLeft w:val="0"/>
      <w:marRight w:val="0"/>
      <w:marTop w:val="0"/>
      <w:marBottom w:val="0"/>
      <w:divBdr>
        <w:top w:val="none" w:sz="0" w:space="0" w:color="auto"/>
        <w:left w:val="none" w:sz="0" w:space="0" w:color="auto"/>
        <w:bottom w:val="none" w:sz="0" w:space="0" w:color="auto"/>
        <w:right w:val="none" w:sz="0" w:space="0" w:color="auto"/>
      </w:divBdr>
    </w:div>
    <w:div w:id="1794441561">
      <w:bodyDiv w:val="1"/>
      <w:marLeft w:val="0"/>
      <w:marRight w:val="0"/>
      <w:marTop w:val="0"/>
      <w:marBottom w:val="0"/>
      <w:divBdr>
        <w:top w:val="none" w:sz="0" w:space="0" w:color="auto"/>
        <w:left w:val="none" w:sz="0" w:space="0" w:color="auto"/>
        <w:bottom w:val="none" w:sz="0" w:space="0" w:color="auto"/>
        <w:right w:val="none" w:sz="0" w:space="0" w:color="auto"/>
      </w:divBdr>
    </w:div>
    <w:div w:id="1811556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47472-D275-4A9E-ACF5-823B44ABB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426</Words>
  <Characters>2433</Characters>
  <Application>Microsoft Office Word</Application>
  <DocSecurity>0</DocSecurity>
  <Lines>20</Lines>
  <Paragraphs>5</Paragraphs>
  <ScaleCrop>false</ScaleCrop>
  <Company/>
  <LinksUpToDate>false</LinksUpToDate>
  <CharactersWithSpaces>2854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2016-04-01T12:05:00Z</dcterms:created>
  <dcterms:modified xsi:type="dcterms:W3CDTF">2016-04-01T12:06:00Z</dcterms:modified>
</cp:coreProperties>
</file>